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87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157"/>
        <w:gridCol w:w="28"/>
        <w:gridCol w:w="3193"/>
      </w:tblGrid>
      <w:tr>
        <w:trPr/>
        <w:tc>
          <w:tcPr>
            <w:tcW w:w="9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4"/>
                <w:szCs w:val="34"/>
                <w:lang w:eastAsia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val="en-US" w:eastAsia="ru-RU"/>
              </w:rPr>
              <w:t>12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u w:val="single"/>
                <w:lang w:eastAsia="ru-RU"/>
              </w:rPr>
              <w:t xml:space="preserve"> марта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20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13  марта 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Выход порции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Плов вегетарианский с сухофруктами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180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226,21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86,61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39,0</w:t>
            </w:r>
          </w:p>
        </w:tc>
      </w:tr>
      <w:tr>
        <w:trPr>
          <w:trHeight w:val="55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Апельсин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0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55,23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Винегрет овощной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Суп из овощей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Рыба тушеная в томате с овощами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Компот из апельсинов 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6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200/10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45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114,72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106,04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114,52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96,4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57,2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Каша гречневая молочная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Какао с молоком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Кислородный коктейль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198,26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101,31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95</Words>
  <Characters>508</Characters>
  <CharactersWithSpaces>972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2025-03-12T11:23:50Z</dcterms:modified>
  <cp:revision>2</cp:revision>
  <dc:subject/>
  <dc:title/>
</cp:coreProperties>
</file>