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98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95"/>
        <w:gridCol w:w="1157"/>
        <w:gridCol w:w="28"/>
        <w:gridCol w:w="3180"/>
      </w:tblGrid>
      <w:tr>
        <w:trPr/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40"/>
                <w:szCs w:val="4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 xml:space="preserve">«17» 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u w:val="single"/>
                <w:lang w:eastAsia="ru-RU"/>
              </w:rPr>
              <w:t xml:space="preserve">апреля   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val="en-US" w:eastAsia="ru-RU"/>
              </w:rPr>
              <w:t>18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 xml:space="preserve">  апреля  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Выход порции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Каша пшенная молочная жидкая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Кофейный напиток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 xml:space="preserve"> 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с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 xml:space="preserve"> 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молоком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19/5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194,3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95,77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121,46</w:t>
            </w:r>
          </w:p>
        </w:tc>
      </w:tr>
      <w:tr>
        <w:trPr>
          <w:trHeight w:val="55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Кисель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31,98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Сельдь с луком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Рассольник ленинградский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Картофельная запеканка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72,01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150,65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253,26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96,3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Сырники из творога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Чай с сахаром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241,31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1</Pages>
  <Words>80</Words>
  <Characters>438</Characters>
  <CharactersWithSpaces>483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2025-04-17T12:52:09Z</dcterms:modified>
  <cp:revision>27</cp:revision>
  <dc:subject/>
  <dc:title/>
</cp:coreProperties>
</file>